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50265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60925" w:rsidRPr="004027B8" w:rsidRDefault="00EF253D" w:rsidP="00560925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0925" w:rsidRPr="004027B8">
        <w:rPr>
          <w:rFonts w:ascii="Times New Roman" w:hAnsi="Times New Roman"/>
          <w:b/>
          <w:sz w:val="26"/>
          <w:szCs w:val="26"/>
          <w:shd w:val="clear" w:color="auto" w:fill="FFFFFF"/>
        </w:rPr>
        <w:t>56:43:0702002:262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60925" w:rsidRPr="004027B8">
        <w:rPr>
          <w:rFonts w:ascii="Times New Roman" w:hAnsi="Times New Roman"/>
          <w:sz w:val="26"/>
          <w:szCs w:val="26"/>
          <w:shd w:val="clear" w:color="auto" w:fill="FFFFFF"/>
        </w:rPr>
        <w:t>56:43:0702002:262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60925" w:rsidRPr="004027B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233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56092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60925" w:rsidRPr="004027B8">
        <w:rPr>
          <w:rFonts w:ascii="Times New Roman" w:hAnsi="Times New Roman"/>
          <w:sz w:val="26"/>
          <w:szCs w:val="26"/>
        </w:rPr>
        <w:t>Жаксымбаев</w:t>
      </w:r>
      <w:proofErr w:type="spellEnd"/>
      <w:r w:rsidR="00560925" w:rsidRPr="004027B8">
        <w:rPr>
          <w:rFonts w:ascii="Times New Roman" w:hAnsi="Times New Roman"/>
          <w:sz w:val="26"/>
          <w:szCs w:val="26"/>
        </w:rPr>
        <w:t xml:space="preserve"> Биржан </w:t>
      </w:r>
      <w:proofErr w:type="spellStart"/>
      <w:r w:rsidR="00560925" w:rsidRPr="004027B8">
        <w:rPr>
          <w:rFonts w:ascii="Times New Roman" w:hAnsi="Times New Roman"/>
          <w:sz w:val="26"/>
          <w:szCs w:val="26"/>
        </w:rPr>
        <w:t>Серикбаевич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56092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60925" w:rsidRPr="004027B8" w:rsidRDefault="00560925" w:rsidP="0056092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027B8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4027B8">
        <w:rPr>
          <w:rFonts w:ascii="Times New Roman" w:hAnsi="Times New Roman"/>
          <w:sz w:val="26"/>
          <w:szCs w:val="26"/>
        </w:rPr>
        <w:t>Жаксымбаева</w:t>
      </w:r>
      <w:proofErr w:type="spellEnd"/>
      <w:r w:rsidRPr="004027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27B8">
        <w:rPr>
          <w:rFonts w:ascii="Times New Roman" w:hAnsi="Times New Roman"/>
          <w:sz w:val="26"/>
          <w:szCs w:val="26"/>
        </w:rPr>
        <w:t>Биржана</w:t>
      </w:r>
      <w:proofErr w:type="spellEnd"/>
      <w:r w:rsidRPr="004027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27B8">
        <w:rPr>
          <w:rFonts w:ascii="Times New Roman" w:hAnsi="Times New Roman"/>
          <w:sz w:val="26"/>
          <w:szCs w:val="26"/>
        </w:rPr>
        <w:t>Серикбаевича</w:t>
      </w:r>
      <w:proofErr w:type="spellEnd"/>
      <w:r w:rsidRPr="004027B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4027B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4027B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0073739, выданным </w:t>
      </w:r>
      <w:proofErr w:type="spellStart"/>
      <w:r w:rsidRPr="004027B8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4027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027B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4027B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560925" w:rsidRDefault="00560925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6F" w:rsidRDefault="00887F6F" w:rsidP="00EF253D">
      <w:r>
        <w:separator/>
      </w:r>
    </w:p>
  </w:endnote>
  <w:endnote w:type="continuationSeparator" w:id="0">
    <w:p w:rsidR="00887F6F" w:rsidRDefault="00887F6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6F" w:rsidRDefault="00887F6F" w:rsidP="00EF253D">
      <w:r>
        <w:separator/>
      </w:r>
    </w:p>
  </w:footnote>
  <w:footnote w:type="continuationSeparator" w:id="0">
    <w:p w:rsidR="00887F6F" w:rsidRDefault="00887F6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0925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87F6F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78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FCDF-E70E-4C89-B987-D5AF1EC9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10</cp:revision>
  <cp:lastPrinted>2022-02-17T11:34:00Z</cp:lastPrinted>
  <dcterms:created xsi:type="dcterms:W3CDTF">2022-03-28T04:25:00Z</dcterms:created>
  <dcterms:modified xsi:type="dcterms:W3CDTF">2022-06-23T10:18:00Z</dcterms:modified>
</cp:coreProperties>
</file>